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AE" w:rsidRDefault="00501FAE" w:rsidP="00501FAE">
      <w:pPr>
        <w:ind w:firstLine="720"/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FILLUAN APLIKIMET PËR BURSA PASUNIVERSITARE NË VITIN 2013 NË TURQI </w:t>
      </w:r>
    </w:p>
    <w:p w:rsidR="00501FAE" w:rsidRDefault="00501FAE" w:rsidP="00501FAE">
      <w:pPr>
        <w:ind w:firstLine="720"/>
        <w:rPr>
          <w:sz w:val="28"/>
          <w:szCs w:val="28"/>
          <w:lang w:val="tr-TR"/>
        </w:rPr>
      </w:pP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Rast i </w:t>
      </w:r>
      <w:proofErr w:type="spellStart"/>
      <w:r>
        <w:rPr>
          <w:sz w:val="28"/>
          <w:szCs w:val="28"/>
          <w:lang w:val="tr-TR"/>
        </w:rPr>
        <w:t>mirë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studentët</w:t>
      </w:r>
      <w:proofErr w:type="spellEnd"/>
      <w:r>
        <w:rPr>
          <w:sz w:val="28"/>
          <w:szCs w:val="28"/>
          <w:lang w:val="tr-TR"/>
        </w:rPr>
        <w:t xml:space="preserve"> e </w:t>
      </w:r>
      <w:proofErr w:type="spellStart"/>
      <w:r>
        <w:rPr>
          <w:sz w:val="28"/>
          <w:szCs w:val="28"/>
          <w:lang w:val="tr-TR"/>
        </w:rPr>
        <w:t>huaj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që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dëshirojnë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fitojnë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bursë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studimet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master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dhe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doktoraturë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Turqi</w:t>
      </w:r>
      <w:proofErr w:type="spellEnd"/>
      <w:r>
        <w:rPr>
          <w:sz w:val="28"/>
          <w:szCs w:val="28"/>
          <w:lang w:val="tr-TR"/>
        </w:rPr>
        <w:t>!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Ftojmë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studentët</w:t>
      </w:r>
      <w:proofErr w:type="spellEnd"/>
      <w:r>
        <w:rPr>
          <w:sz w:val="28"/>
          <w:szCs w:val="28"/>
          <w:lang w:val="tr-TR"/>
        </w:rPr>
        <w:t xml:space="preserve"> e </w:t>
      </w:r>
      <w:proofErr w:type="spellStart"/>
      <w:r>
        <w:rPr>
          <w:sz w:val="28"/>
          <w:szCs w:val="28"/>
          <w:lang w:val="tr-TR"/>
        </w:rPr>
        <w:t>suksesshëm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nga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gjithë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vendet</w:t>
      </w:r>
      <w:proofErr w:type="spellEnd"/>
      <w:r>
        <w:rPr>
          <w:sz w:val="28"/>
          <w:szCs w:val="28"/>
          <w:lang w:val="tr-TR"/>
        </w:rPr>
        <w:t xml:space="preserve"> e </w:t>
      </w:r>
      <w:proofErr w:type="spellStart"/>
      <w:r>
        <w:rPr>
          <w:sz w:val="28"/>
          <w:szCs w:val="28"/>
          <w:lang w:val="tr-TR"/>
        </w:rPr>
        <w:t>botës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ndjekin</w:t>
      </w:r>
      <w:proofErr w:type="spellEnd"/>
      <w:r>
        <w:rPr>
          <w:sz w:val="28"/>
          <w:szCs w:val="28"/>
          <w:lang w:val="tr-TR"/>
        </w:rPr>
        <w:t xml:space="preserve"> me </w:t>
      </w:r>
      <w:proofErr w:type="spellStart"/>
      <w:r>
        <w:rPr>
          <w:sz w:val="28"/>
          <w:szCs w:val="28"/>
          <w:lang w:val="tr-TR"/>
        </w:rPr>
        <w:t>bursë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studimet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master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dhe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doktoraturë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universitetet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cilësorë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Turqisë</w:t>
      </w:r>
      <w:proofErr w:type="spellEnd"/>
      <w:r>
        <w:rPr>
          <w:sz w:val="28"/>
          <w:szCs w:val="28"/>
          <w:lang w:val="tr-TR"/>
        </w:rPr>
        <w:t xml:space="preserve">.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universitetet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mira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Turqisë</w:t>
      </w:r>
      <w:proofErr w:type="spellEnd"/>
      <w:r>
        <w:rPr>
          <w:sz w:val="28"/>
          <w:szCs w:val="28"/>
          <w:lang w:val="tr-TR"/>
        </w:rPr>
        <w:t xml:space="preserve"> me </w:t>
      </w:r>
      <w:proofErr w:type="spellStart"/>
      <w:r>
        <w:rPr>
          <w:sz w:val="28"/>
          <w:szCs w:val="28"/>
          <w:lang w:val="tr-TR"/>
        </w:rPr>
        <w:t>standarde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botërore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mund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ndiqen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studimet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pasuniversitare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shkenca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politike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marrëdhënie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ndërkombëtare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drejtësi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inxhinieri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shkenca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islame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bujqësi</w:t>
      </w:r>
      <w:proofErr w:type="spellEnd"/>
      <w:r>
        <w:rPr>
          <w:sz w:val="28"/>
          <w:szCs w:val="28"/>
          <w:lang w:val="tr-TR"/>
        </w:rPr>
        <w:t xml:space="preserve">, ekonomi, </w:t>
      </w:r>
      <w:proofErr w:type="spellStart"/>
      <w:r>
        <w:rPr>
          <w:sz w:val="28"/>
          <w:szCs w:val="28"/>
          <w:lang w:val="tr-TR"/>
        </w:rPr>
        <w:t>media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dhe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komunikim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histori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sociologji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arkitekturë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dhe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shumë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fusha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tjera</w:t>
      </w:r>
      <w:proofErr w:type="spellEnd"/>
      <w:r>
        <w:rPr>
          <w:sz w:val="28"/>
          <w:szCs w:val="28"/>
          <w:lang w:val="tr-TR"/>
        </w:rPr>
        <w:t xml:space="preserve">.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informacion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hollës</w:t>
      </w:r>
      <w:r w:rsidR="009C79C5">
        <w:rPr>
          <w:sz w:val="28"/>
          <w:szCs w:val="28"/>
          <w:lang w:val="tr-TR"/>
        </w:rPr>
        <w:t>i</w:t>
      </w:r>
      <w:bookmarkStart w:id="0" w:name="_GoBack"/>
      <w:bookmarkEnd w:id="0"/>
      <w:r>
        <w:rPr>
          <w:sz w:val="28"/>
          <w:szCs w:val="28"/>
          <w:lang w:val="tr-TR"/>
        </w:rPr>
        <w:t>shëm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mund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vizitoni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adresën</w:t>
      </w:r>
      <w:proofErr w:type="spellEnd"/>
      <w:r>
        <w:rPr>
          <w:sz w:val="28"/>
          <w:szCs w:val="28"/>
          <w:lang w:val="tr-TR"/>
        </w:rPr>
        <w:t xml:space="preserve"> </w:t>
      </w:r>
      <w:hyperlink r:id="rId6" w:history="1">
        <w:r>
          <w:rPr>
            <w:rStyle w:val="Hyperlink"/>
            <w:sz w:val="28"/>
            <w:szCs w:val="28"/>
            <w:lang w:val="tr-TR"/>
          </w:rPr>
          <w:t>www.turkiyeburslari.gov.tr</w:t>
        </w:r>
      </w:hyperlink>
      <w:r>
        <w:rPr>
          <w:sz w:val="28"/>
          <w:szCs w:val="28"/>
          <w:lang w:val="tr-TR"/>
        </w:rPr>
        <w:t xml:space="preserve">  </w:t>
      </w:r>
    </w:p>
    <w:p w:rsidR="00501FAE" w:rsidRDefault="00501FAE" w:rsidP="00501FAE">
      <w:pPr>
        <w:ind w:firstLine="720"/>
        <w:jc w:val="both"/>
        <w:rPr>
          <w:b/>
          <w:sz w:val="28"/>
          <w:szCs w:val="28"/>
          <w:u w:val="single"/>
          <w:lang w:val="tr-TR"/>
        </w:rPr>
      </w:pPr>
      <w:proofErr w:type="spellStart"/>
      <w:r>
        <w:rPr>
          <w:b/>
          <w:sz w:val="28"/>
          <w:szCs w:val="28"/>
          <w:u w:val="single"/>
          <w:lang w:val="tr-TR"/>
        </w:rPr>
        <w:t>Aplikimet</w:t>
      </w:r>
      <w:proofErr w:type="spellEnd"/>
      <w:r>
        <w:rPr>
          <w:b/>
          <w:sz w:val="28"/>
          <w:szCs w:val="28"/>
          <w:u w:val="single"/>
          <w:lang w:val="tr-TR"/>
        </w:rPr>
        <w:t xml:space="preserve"> </w:t>
      </w:r>
      <w:proofErr w:type="spellStart"/>
      <w:r>
        <w:rPr>
          <w:b/>
          <w:sz w:val="28"/>
          <w:szCs w:val="28"/>
          <w:u w:val="single"/>
          <w:lang w:val="tr-TR"/>
        </w:rPr>
        <w:t>janë</w:t>
      </w:r>
      <w:proofErr w:type="spellEnd"/>
      <w:r>
        <w:rPr>
          <w:b/>
          <w:sz w:val="28"/>
          <w:szCs w:val="28"/>
          <w:u w:val="single"/>
          <w:lang w:val="tr-TR"/>
        </w:rPr>
        <w:t xml:space="preserve"> </w:t>
      </w:r>
      <w:proofErr w:type="spellStart"/>
      <w:r>
        <w:rPr>
          <w:b/>
          <w:sz w:val="28"/>
          <w:szCs w:val="28"/>
          <w:u w:val="single"/>
          <w:lang w:val="tr-TR"/>
        </w:rPr>
        <w:t>të</w:t>
      </w:r>
      <w:proofErr w:type="spellEnd"/>
      <w:r>
        <w:rPr>
          <w:b/>
          <w:sz w:val="28"/>
          <w:szCs w:val="28"/>
          <w:u w:val="single"/>
          <w:lang w:val="tr-TR"/>
        </w:rPr>
        <w:t xml:space="preserve"> </w:t>
      </w:r>
      <w:proofErr w:type="spellStart"/>
      <w:r>
        <w:rPr>
          <w:b/>
          <w:sz w:val="28"/>
          <w:szCs w:val="28"/>
          <w:u w:val="single"/>
          <w:lang w:val="tr-TR"/>
        </w:rPr>
        <w:t>vlefshme</w:t>
      </w:r>
      <w:proofErr w:type="spellEnd"/>
      <w:r>
        <w:rPr>
          <w:b/>
          <w:sz w:val="28"/>
          <w:szCs w:val="28"/>
          <w:u w:val="single"/>
          <w:lang w:val="tr-TR"/>
        </w:rPr>
        <w:t xml:space="preserve"> deri </w:t>
      </w:r>
      <w:proofErr w:type="spellStart"/>
      <w:r>
        <w:rPr>
          <w:b/>
          <w:sz w:val="28"/>
          <w:szCs w:val="28"/>
          <w:u w:val="single"/>
          <w:lang w:val="tr-TR"/>
        </w:rPr>
        <w:t>në</w:t>
      </w:r>
      <w:proofErr w:type="spellEnd"/>
      <w:r>
        <w:rPr>
          <w:b/>
          <w:sz w:val="28"/>
          <w:szCs w:val="28"/>
          <w:u w:val="single"/>
          <w:lang w:val="tr-TR"/>
        </w:rPr>
        <w:t xml:space="preserve"> </w:t>
      </w:r>
      <w:proofErr w:type="spellStart"/>
      <w:r>
        <w:rPr>
          <w:b/>
          <w:sz w:val="28"/>
          <w:szCs w:val="28"/>
          <w:u w:val="single"/>
          <w:lang w:val="tr-TR"/>
        </w:rPr>
        <w:t>datën</w:t>
      </w:r>
      <w:proofErr w:type="spellEnd"/>
      <w:r>
        <w:rPr>
          <w:b/>
          <w:sz w:val="28"/>
          <w:szCs w:val="28"/>
          <w:u w:val="single"/>
          <w:lang w:val="tr-TR"/>
        </w:rPr>
        <w:t xml:space="preserve"> 31 mars 2013. </w:t>
      </w:r>
    </w:p>
    <w:p w:rsidR="00501FAE" w:rsidRDefault="00501FAE" w:rsidP="00501FAE">
      <w:pPr>
        <w:ind w:firstLine="720"/>
        <w:jc w:val="both"/>
        <w:rPr>
          <w:b/>
          <w:sz w:val="28"/>
          <w:szCs w:val="28"/>
          <w:lang w:val="tr-TR"/>
        </w:rPr>
      </w:pPr>
    </w:p>
    <w:p w:rsidR="00501FAE" w:rsidRDefault="00501FAE" w:rsidP="00501FAE">
      <w:pPr>
        <w:ind w:firstLine="720"/>
        <w:jc w:val="both"/>
        <w:rPr>
          <w:b/>
          <w:sz w:val="28"/>
          <w:szCs w:val="28"/>
          <w:lang w:val="tr-TR"/>
        </w:rPr>
      </w:pPr>
      <w:proofErr w:type="spellStart"/>
      <w:r>
        <w:rPr>
          <w:b/>
          <w:sz w:val="28"/>
          <w:szCs w:val="28"/>
          <w:lang w:val="tr-TR"/>
        </w:rPr>
        <w:t>Kushtet</w:t>
      </w:r>
      <w:proofErr w:type="spellEnd"/>
      <w:r>
        <w:rPr>
          <w:b/>
          <w:sz w:val="28"/>
          <w:szCs w:val="28"/>
          <w:lang w:val="tr-TR"/>
        </w:rPr>
        <w:t xml:space="preserve"> </w:t>
      </w:r>
      <w:proofErr w:type="spellStart"/>
      <w:r>
        <w:rPr>
          <w:b/>
          <w:sz w:val="28"/>
          <w:szCs w:val="28"/>
          <w:lang w:val="tr-TR"/>
        </w:rPr>
        <w:t>për</w:t>
      </w:r>
      <w:proofErr w:type="spellEnd"/>
      <w:r>
        <w:rPr>
          <w:b/>
          <w:sz w:val="28"/>
          <w:szCs w:val="28"/>
          <w:lang w:val="tr-TR"/>
        </w:rPr>
        <w:t xml:space="preserve"> </w:t>
      </w:r>
      <w:proofErr w:type="spellStart"/>
      <w:r>
        <w:rPr>
          <w:b/>
          <w:sz w:val="28"/>
          <w:szCs w:val="28"/>
          <w:lang w:val="tr-TR"/>
        </w:rPr>
        <w:t>të</w:t>
      </w:r>
      <w:proofErr w:type="spellEnd"/>
      <w:r>
        <w:rPr>
          <w:b/>
          <w:sz w:val="28"/>
          <w:szCs w:val="28"/>
          <w:lang w:val="tr-TR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tr-TR"/>
        </w:rPr>
        <w:t>aplikuar</w:t>
      </w:r>
      <w:proofErr w:type="spellEnd"/>
      <w:r>
        <w:rPr>
          <w:b/>
          <w:sz w:val="28"/>
          <w:szCs w:val="28"/>
          <w:lang w:val="tr-TR"/>
        </w:rPr>
        <w:t xml:space="preserve"> :</w:t>
      </w:r>
      <w:proofErr w:type="gramEnd"/>
      <w:r>
        <w:rPr>
          <w:b/>
          <w:sz w:val="28"/>
          <w:szCs w:val="28"/>
          <w:lang w:val="tr-TR"/>
        </w:rPr>
        <w:t xml:space="preserve">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Kandidatët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duhet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jenë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diplomuar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parë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ose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duhet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diplomohen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këtë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vit</w:t>
      </w:r>
      <w:proofErr w:type="spellEnd"/>
      <w:r>
        <w:rPr>
          <w:sz w:val="28"/>
          <w:szCs w:val="28"/>
          <w:lang w:val="tr-TR"/>
        </w:rPr>
        <w:t xml:space="preserve"> akademik.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Kandidatët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që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kërkojnë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bursë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master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duhet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ketë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lindur</w:t>
      </w:r>
      <w:proofErr w:type="spellEnd"/>
      <w:r>
        <w:rPr>
          <w:sz w:val="28"/>
          <w:szCs w:val="28"/>
          <w:lang w:val="tr-TR"/>
        </w:rPr>
        <w:t xml:space="preserve"> pas </w:t>
      </w:r>
      <w:proofErr w:type="spellStart"/>
      <w:r>
        <w:rPr>
          <w:sz w:val="28"/>
          <w:szCs w:val="28"/>
          <w:lang w:val="tr-TR"/>
        </w:rPr>
        <w:t>datës</w:t>
      </w:r>
      <w:proofErr w:type="spellEnd"/>
      <w:r>
        <w:rPr>
          <w:sz w:val="28"/>
          <w:szCs w:val="28"/>
          <w:lang w:val="tr-TR"/>
        </w:rPr>
        <w:t xml:space="preserve"> 01.01.1983, </w:t>
      </w:r>
      <w:proofErr w:type="spellStart"/>
      <w:r>
        <w:rPr>
          <w:sz w:val="28"/>
          <w:szCs w:val="28"/>
          <w:lang w:val="tr-TR"/>
        </w:rPr>
        <w:t>ndërsa</w:t>
      </w:r>
      <w:proofErr w:type="spellEnd"/>
      <w:r>
        <w:rPr>
          <w:sz w:val="28"/>
          <w:szCs w:val="28"/>
          <w:lang w:val="tr-TR"/>
        </w:rPr>
        <w:t xml:space="preserve"> ata </w:t>
      </w: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doktoraturë</w:t>
      </w:r>
      <w:proofErr w:type="spellEnd"/>
      <w:r>
        <w:rPr>
          <w:sz w:val="28"/>
          <w:szCs w:val="28"/>
          <w:lang w:val="tr-TR"/>
        </w:rPr>
        <w:t xml:space="preserve"> pas </w:t>
      </w:r>
      <w:proofErr w:type="spellStart"/>
      <w:r>
        <w:rPr>
          <w:sz w:val="28"/>
          <w:szCs w:val="28"/>
          <w:lang w:val="tr-TR"/>
        </w:rPr>
        <w:t>datës</w:t>
      </w:r>
      <w:proofErr w:type="spellEnd"/>
      <w:r>
        <w:rPr>
          <w:sz w:val="28"/>
          <w:szCs w:val="28"/>
          <w:lang w:val="tr-TR"/>
        </w:rPr>
        <w:t xml:space="preserve"> 01.01.1978. </w:t>
      </w:r>
    </w:p>
    <w:p w:rsidR="00501FAE" w:rsidRDefault="00501FAE" w:rsidP="00501FAE">
      <w:pPr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ab/>
      </w:r>
      <w:proofErr w:type="spellStart"/>
      <w:r>
        <w:rPr>
          <w:sz w:val="28"/>
          <w:szCs w:val="28"/>
          <w:lang w:val="tr-TR"/>
        </w:rPr>
        <w:t>Kandidatët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nuk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duhet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jenë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duke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ndjekur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aktualisht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Turqi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një</w:t>
      </w:r>
      <w:proofErr w:type="spellEnd"/>
      <w:r>
        <w:rPr>
          <w:sz w:val="28"/>
          <w:szCs w:val="28"/>
          <w:lang w:val="tr-TR"/>
        </w:rPr>
        <w:t xml:space="preserve"> program </w:t>
      </w: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nivelin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ku</w:t>
      </w:r>
      <w:proofErr w:type="spellEnd"/>
      <w:r>
        <w:rPr>
          <w:sz w:val="28"/>
          <w:szCs w:val="28"/>
          <w:lang w:val="tr-TR"/>
        </w:rPr>
        <w:t xml:space="preserve"> do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aplikojnë</w:t>
      </w:r>
      <w:proofErr w:type="spellEnd"/>
      <w:r>
        <w:rPr>
          <w:sz w:val="28"/>
          <w:szCs w:val="28"/>
          <w:lang w:val="tr-TR"/>
        </w:rPr>
        <w:t xml:space="preserve">.  </w:t>
      </w:r>
    </w:p>
    <w:p w:rsidR="00501FAE" w:rsidRDefault="00501FAE" w:rsidP="00501FAE">
      <w:pPr>
        <w:ind w:firstLine="720"/>
        <w:jc w:val="both"/>
        <w:rPr>
          <w:b/>
          <w:sz w:val="28"/>
          <w:szCs w:val="28"/>
        </w:rPr>
      </w:pPr>
    </w:p>
    <w:p w:rsidR="00501FAE" w:rsidRDefault="00501FAE" w:rsidP="00501FAE">
      <w:pPr>
        <w:ind w:firstLine="720"/>
        <w:jc w:val="both"/>
        <w:rPr>
          <w:b/>
          <w:sz w:val="28"/>
          <w:szCs w:val="28"/>
          <w:lang w:val="tr-TR"/>
        </w:rPr>
      </w:pPr>
      <w:proofErr w:type="spellStart"/>
      <w:r>
        <w:rPr>
          <w:b/>
          <w:sz w:val="28"/>
          <w:szCs w:val="28"/>
          <w:lang w:val="tr-TR"/>
        </w:rPr>
        <w:t>Në</w:t>
      </w:r>
      <w:proofErr w:type="spellEnd"/>
      <w:r>
        <w:rPr>
          <w:b/>
          <w:sz w:val="28"/>
          <w:szCs w:val="28"/>
          <w:lang w:val="tr-TR"/>
        </w:rPr>
        <w:t xml:space="preserve"> </w:t>
      </w:r>
      <w:proofErr w:type="spellStart"/>
      <w:r>
        <w:rPr>
          <w:b/>
          <w:sz w:val="28"/>
          <w:szCs w:val="28"/>
          <w:lang w:val="tr-TR"/>
        </w:rPr>
        <w:t>bursë</w:t>
      </w:r>
      <w:proofErr w:type="spellEnd"/>
      <w:r>
        <w:rPr>
          <w:b/>
          <w:sz w:val="28"/>
          <w:szCs w:val="28"/>
          <w:lang w:val="tr-TR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tr-TR"/>
        </w:rPr>
        <w:t>përfshihen</w:t>
      </w:r>
      <w:proofErr w:type="spellEnd"/>
      <w:r>
        <w:rPr>
          <w:b/>
          <w:sz w:val="28"/>
          <w:szCs w:val="28"/>
          <w:lang w:val="tr-TR"/>
        </w:rPr>
        <w:t xml:space="preserve"> :</w:t>
      </w:r>
      <w:proofErr w:type="gramEnd"/>
      <w:r>
        <w:rPr>
          <w:b/>
          <w:sz w:val="28"/>
          <w:szCs w:val="28"/>
          <w:lang w:val="tr-TR"/>
        </w:rPr>
        <w:t xml:space="preserve">  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- </w:t>
      </w:r>
      <w:proofErr w:type="gramStart"/>
      <w:r>
        <w:rPr>
          <w:sz w:val="28"/>
          <w:szCs w:val="28"/>
          <w:lang w:val="tr-TR"/>
        </w:rPr>
        <w:t xml:space="preserve">bursa  </w:t>
      </w:r>
      <w:proofErr w:type="spellStart"/>
      <w:r>
        <w:rPr>
          <w:sz w:val="28"/>
          <w:szCs w:val="28"/>
          <w:lang w:val="tr-TR"/>
        </w:rPr>
        <w:t>mujore</w:t>
      </w:r>
      <w:proofErr w:type="spellEnd"/>
      <w:proofErr w:type="gramEnd"/>
      <w:r>
        <w:rPr>
          <w:sz w:val="28"/>
          <w:szCs w:val="28"/>
          <w:lang w:val="tr-TR"/>
        </w:rPr>
        <w:t>,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- </w:t>
      </w:r>
      <w:proofErr w:type="spellStart"/>
      <w:r>
        <w:rPr>
          <w:sz w:val="28"/>
          <w:szCs w:val="28"/>
          <w:lang w:val="tr-TR"/>
        </w:rPr>
        <w:t>shpenzimet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studiuar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universitet</w:t>
      </w:r>
      <w:proofErr w:type="spellEnd"/>
      <w:r>
        <w:rPr>
          <w:sz w:val="28"/>
          <w:szCs w:val="28"/>
          <w:lang w:val="tr-TR"/>
        </w:rPr>
        <w:t xml:space="preserve">,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- </w:t>
      </w:r>
      <w:proofErr w:type="spellStart"/>
      <w:r>
        <w:rPr>
          <w:sz w:val="28"/>
          <w:szCs w:val="28"/>
          <w:lang w:val="tr-TR"/>
        </w:rPr>
        <w:t>sigurimi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shëndetësor</w:t>
      </w:r>
      <w:proofErr w:type="spellEnd"/>
      <w:r>
        <w:rPr>
          <w:sz w:val="28"/>
          <w:szCs w:val="28"/>
          <w:lang w:val="tr-TR"/>
        </w:rPr>
        <w:t xml:space="preserve">,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- </w:t>
      </w:r>
      <w:proofErr w:type="spellStart"/>
      <w:r>
        <w:rPr>
          <w:sz w:val="28"/>
          <w:szCs w:val="28"/>
          <w:lang w:val="tr-TR"/>
        </w:rPr>
        <w:t>konvikti</w:t>
      </w:r>
      <w:proofErr w:type="spellEnd"/>
      <w:r>
        <w:rPr>
          <w:sz w:val="28"/>
          <w:szCs w:val="28"/>
          <w:lang w:val="tr-TR"/>
        </w:rPr>
        <w:t xml:space="preserve">,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- </w:t>
      </w:r>
      <w:proofErr w:type="spellStart"/>
      <w:r>
        <w:rPr>
          <w:sz w:val="28"/>
          <w:szCs w:val="28"/>
          <w:lang w:val="tr-TR"/>
        </w:rPr>
        <w:t>mësimi</w:t>
      </w:r>
      <w:proofErr w:type="spellEnd"/>
      <w:r>
        <w:rPr>
          <w:sz w:val="28"/>
          <w:szCs w:val="28"/>
          <w:lang w:val="tr-TR"/>
        </w:rPr>
        <w:t xml:space="preserve"> i </w:t>
      </w:r>
      <w:proofErr w:type="spellStart"/>
      <w:r>
        <w:rPr>
          <w:sz w:val="28"/>
          <w:szCs w:val="28"/>
          <w:lang w:val="tr-TR"/>
        </w:rPr>
        <w:t>gjuhës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turke</w:t>
      </w:r>
      <w:proofErr w:type="spellEnd"/>
      <w:r>
        <w:rPr>
          <w:sz w:val="28"/>
          <w:szCs w:val="28"/>
          <w:lang w:val="tr-TR"/>
        </w:rPr>
        <w:t>,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r>
        <w:rPr>
          <w:sz w:val="28"/>
          <w:szCs w:val="28"/>
          <w:lang w:val="tr-TR"/>
        </w:rPr>
        <w:t xml:space="preserve">- </w:t>
      </w:r>
      <w:proofErr w:type="spellStart"/>
      <w:r>
        <w:rPr>
          <w:sz w:val="28"/>
          <w:szCs w:val="28"/>
          <w:lang w:val="tr-TR"/>
        </w:rPr>
        <w:t>shpenzimet</w:t>
      </w:r>
      <w:proofErr w:type="spellEnd"/>
      <w:r>
        <w:rPr>
          <w:sz w:val="28"/>
          <w:szCs w:val="28"/>
          <w:lang w:val="tr-TR"/>
        </w:rPr>
        <w:t xml:space="preserve"> e </w:t>
      </w:r>
      <w:proofErr w:type="spellStart"/>
      <w:r>
        <w:rPr>
          <w:sz w:val="28"/>
          <w:szCs w:val="28"/>
          <w:lang w:val="tr-TR"/>
        </w:rPr>
        <w:t>udhëtimit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shkuarje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dhe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kthim</w:t>
      </w:r>
      <w:proofErr w:type="spellEnd"/>
      <w:r>
        <w:rPr>
          <w:sz w:val="28"/>
          <w:szCs w:val="28"/>
          <w:lang w:val="tr-TR"/>
        </w:rPr>
        <w:t xml:space="preserve"> (</w:t>
      </w:r>
      <w:proofErr w:type="spellStart"/>
      <w:r>
        <w:rPr>
          <w:sz w:val="28"/>
          <w:szCs w:val="28"/>
          <w:lang w:val="tr-TR"/>
        </w:rPr>
        <w:t>për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regjistrim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dhe</w:t>
      </w:r>
      <w:proofErr w:type="spellEnd"/>
      <w:r>
        <w:rPr>
          <w:sz w:val="28"/>
          <w:szCs w:val="28"/>
          <w:lang w:val="tr-TR"/>
        </w:rPr>
        <w:t xml:space="preserve"> pas </w:t>
      </w:r>
      <w:proofErr w:type="spellStart"/>
      <w:r>
        <w:rPr>
          <w:sz w:val="28"/>
          <w:szCs w:val="28"/>
          <w:lang w:val="tr-TR"/>
        </w:rPr>
        <w:t>diplomimit</w:t>
      </w:r>
      <w:proofErr w:type="spellEnd"/>
      <w:r>
        <w:rPr>
          <w:sz w:val="28"/>
          <w:szCs w:val="28"/>
          <w:lang w:val="tr-TR"/>
        </w:rPr>
        <w:t xml:space="preserve">).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</w:p>
    <w:p w:rsidR="00501FAE" w:rsidRDefault="00501FAE" w:rsidP="00501FAE">
      <w:pPr>
        <w:ind w:firstLine="720"/>
        <w:jc w:val="both"/>
        <w:rPr>
          <w:b/>
          <w:sz w:val="28"/>
          <w:szCs w:val="28"/>
          <w:lang w:val="tr-TR"/>
        </w:rPr>
      </w:pPr>
      <w:proofErr w:type="spellStart"/>
      <w:proofErr w:type="gramStart"/>
      <w:r>
        <w:rPr>
          <w:b/>
          <w:sz w:val="28"/>
          <w:szCs w:val="28"/>
          <w:lang w:val="tr-TR"/>
        </w:rPr>
        <w:t>Aplikimi</w:t>
      </w:r>
      <w:proofErr w:type="spellEnd"/>
      <w:r>
        <w:rPr>
          <w:b/>
          <w:sz w:val="28"/>
          <w:szCs w:val="28"/>
          <w:lang w:val="tr-TR"/>
        </w:rPr>
        <w:t xml:space="preserve"> :</w:t>
      </w:r>
      <w:proofErr w:type="gramEnd"/>
      <w:r>
        <w:rPr>
          <w:b/>
          <w:sz w:val="28"/>
          <w:szCs w:val="28"/>
          <w:lang w:val="tr-TR"/>
        </w:rPr>
        <w:t xml:space="preserve"> </w:t>
      </w:r>
    </w:p>
    <w:p w:rsidR="00501FAE" w:rsidRDefault="00501FAE" w:rsidP="00501FAE">
      <w:pPr>
        <w:ind w:firstLine="720"/>
        <w:jc w:val="both"/>
        <w:rPr>
          <w:sz w:val="28"/>
          <w:szCs w:val="28"/>
          <w:lang w:val="tr-TR"/>
        </w:rPr>
      </w:pPr>
      <w:proofErr w:type="spellStart"/>
      <w:r>
        <w:rPr>
          <w:sz w:val="28"/>
          <w:szCs w:val="28"/>
          <w:lang w:val="tr-TR"/>
        </w:rPr>
        <w:t>Aplikimet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mund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bëhen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nëpërmjet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adresave</w:t>
      </w:r>
      <w:proofErr w:type="spellEnd"/>
      <w:r>
        <w:rPr>
          <w:sz w:val="28"/>
          <w:szCs w:val="28"/>
          <w:lang w:val="tr-TR"/>
        </w:rPr>
        <w:t xml:space="preserve"> </w:t>
      </w:r>
      <w:hyperlink r:id="rId7" w:history="1">
        <w:r>
          <w:rPr>
            <w:rStyle w:val="Hyperlink"/>
            <w:sz w:val="28"/>
            <w:szCs w:val="28"/>
            <w:lang w:val="tr-TR"/>
          </w:rPr>
          <w:t>www.turkiyeburslari.gov.tr</w:t>
        </w:r>
      </w:hyperlink>
      <w:r>
        <w:rPr>
          <w:sz w:val="28"/>
          <w:szCs w:val="28"/>
          <w:lang w:val="tr-TR"/>
        </w:rPr>
        <w:t xml:space="preserve">  </w:t>
      </w:r>
      <w:proofErr w:type="spellStart"/>
      <w:r>
        <w:rPr>
          <w:sz w:val="28"/>
          <w:szCs w:val="28"/>
          <w:lang w:val="tr-TR"/>
        </w:rPr>
        <w:t>ose</w:t>
      </w:r>
      <w:proofErr w:type="spellEnd"/>
      <w:r>
        <w:rPr>
          <w:sz w:val="28"/>
          <w:szCs w:val="28"/>
          <w:lang w:val="tr-TR"/>
        </w:rPr>
        <w:t xml:space="preserve"> </w:t>
      </w:r>
      <w:hyperlink r:id="rId8" w:history="1">
        <w:r>
          <w:rPr>
            <w:rStyle w:val="Hyperlink"/>
            <w:sz w:val="28"/>
            <w:szCs w:val="28"/>
            <w:lang w:val="tr-TR"/>
          </w:rPr>
          <w:t>www.trscholarships.org</w:t>
        </w:r>
      </w:hyperlink>
      <w:r>
        <w:rPr>
          <w:sz w:val="28"/>
          <w:szCs w:val="28"/>
          <w:lang w:val="tr-TR"/>
        </w:rPr>
        <w:t xml:space="preserve"> . </w:t>
      </w:r>
      <w:proofErr w:type="spellStart"/>
      <w:r>
        <w:rPr>
          <w:sz w:val="28"/>
          <w:szCs w:val="28"/>
          <w:lang w:val="tr-TR"/>
        </w:rPr>
        <w:t>Kandidatët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që</w:t>
      </w:r>
      <w:proofErr w:type="spellEnd"/>
      <w:r>
        <w:rPr>
          <w:sz w:val="28"/>
          <w:szCs w:val="28"/>
          <w:lang w:val="tr-TR"/>
        </w:rPr>
        <w:t xml:space="preserve"> do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aplikojnë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nëpërmjet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internetit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fillimisht</w:t>
      </w:r>
      <w:proofErr w:type="spellEnd"/>
      <w:r>
        <w:rPr>
          <w:sz w:val="28"/>
          <w:szCs w:val="28"/>
          <w:lang w:val="tr-TR"/>
        </w:rPr>
        <w:t xml:space="preserve"> do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krijojnë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një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llogari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re </w:t>
      </w:r>
      <w:proofErr w:type="spellStart"/>
      <w:r>
        <w:rPr>
          <w:sz w:val="28"/>
          <w:szCs w:val="28"/>
          <w:lang w:val="tr-TR"/>
        </w:rPr>
        <w:t>aplikimi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duke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marrë</w:t>
      </w:r>
      <w:proofErr w:type="spellEnd"/>
      <w:r>
        <w:rPr>
          <w:sz w:val="28"/>
          <w:szCs w:val="28"/>
          <w:lang w:val="tr-TR"/>
        </w:rPr>
        <w:t xml:space="preserve"> emrin e </w:t>
      </w:r>
      <w:proofErr w:type="spellStart"/>
      <w:r>
        <w:rPr>
          <w:sz w:val="28"/>
          <w:szCs w:val="28"/>
          <w:lang w:val="tr-TR"/>
        </w:rPr>
        <w:t>përdoruesit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dhe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kodin</w:t>
      </w:r>
      <w:proofErr w:type="spellEnd"/>
      <w:r>
        <w:rPr>
          <w:sz w:val="28"/>
          <w:szCs w:val="28"/>
          <w:lang w:val="tr-TR"/>
        </w:rPr>
        <w:t xml:space="preserve">. </w:t>
      </w:r>
      <w:proofErr w:type="spellStart"/>
      <w:r>
        <w:rPr>
          <w:sz w:val="28"/>
          <w:szCs w:val="28"/>
          <w:lang w:val="tr-TR"/>
        </w:rPr>
        <w:t>Kandidatët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cilët</w:t>
      </w:r>
      <w:proofErr w:type="spellEnd"/>
      <w:r>
        <w:rPr>
          <w:sz w:val="28"/>
          <w:szCs w:val="28"/>
          <w:lang w:val="tr-TR"/>
        </w:rPr>
        <w:t xml:space="preserve"> do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hyjnë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sistem me </w:t>
      </w:r>
      <w:proofErr w:type="spellStart"/>
      <w:r>
        <w:rPr>
          <w:sz w:val="28"/>
          <w:szCs w:val="28"/>
          <w:lang w:val="tr-TR"/>
        </w:rPr>
        <w:t>këtë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llogari</w:t>
      </w:r>
      <w:proofErr w:type="spellEnd"/>
      <w:r>
        <w:rPr>
          <w:sz w:val="28"/>
          <w:szCs w:val="28"/>
          <w:lang w:val="tr-TR"/>
        </w:rPr>
        <w:t xml:space="preserve">, </w:t>
      </w:r>
      <w:proofErr w:type="spellStart"/>
      <w:r>
        <w:rPr>
          <w:sz w:val="28"/>
          <w:szCs w:val="28"/>
          <w:lang w:val="tr-TR"/>
        </w:rPr>
        <w:t>pasi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të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plotësojnë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formularin</w:t>
      </w:r>
      <w:proofErr w:type="spellEnd"/>
      <w:r>
        <w:rPr>
          <w:sz w:val="28"/>
          <w:szCs w:val="28"/>
          <w:lang w:val="tr-TR"/>
        </w:rPr>
        <w:t xml:space="preserve"> do ta </w:t>
      </w:r>
      <w:proofErr w:type="spellStart"/>
      <w:r>
        <w:rPr>
          <w:sz w:val="28"/>
          <w:szCs w:val="28"/>
          <w:lang w:val="tr-TR"/>
        </w:rPr>
        <w:t>përfundojnë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aplikimin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duke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ngarkuar</w:t>
      </w:r>
      <w:proofErr w:type="spellEnd"/>
      <w:r>
        <w:rPr>
          <w:sz w:val="28"/>
          <w:szCs w:val="28"/>
          <w:lang w:val="tr-TR"/>
        </w:rPr>
        <w:t xml:space="preserve"> </w:t>
      </w:r>
      <w:proofErr w:type="spellStart"/>
      <w:r>
        <w:rPr>
          <w:sz w:val="28"/>
          <w:szCs w:val="28"/>
          <w:lang w:val="tr-TR"/>
        </w:rPr>
        <w:t>në</w:t>
      </w:r>
      <w:proofErr w:type="spellEnd"/>
      <w:r>
        <w:rPr>
          <w:sz w:val="28"/>
          <w:szCs w:val="28"/>
          <w:lang w:val="tr-TR"/>
        </w:rPr>
        <w:t xml:space="preserve"> sistem </w:t>
      </w:r>
      <w:proofErr w:type="spellStart"/>
      <w:r>
        <w:rPr>
          <w:sz w:val="28"/>
          <w:szCs w:val="28"/>
          <w:lang w:val="tr-TR"/>
        </w:rPr>
        <w:t>dokumentet</w:t>
      </w:r>
      <w:proofErr w:type="spellEnd"/>
      <w:r>
        <w:rPr>
          <w:sz w:val="28"/>
          <w:szCs w:val="28"/>
          <w:lang w:val="tr-TR"/>
        </w:rPr>
        <w:t xml:space="preserve"> e </w:t>
      </w:r>
      <w:proofErr w:type="spellStart"/>
      <w:r>
        <w:rPr>
          <w:sz w:val="28"/>
          <w:szCs w:val="28"/>
          <w:lang w:val="tr-TR"/>
        </w:rPr>
        <w:t>kërkuara</w:t>
      </w:r>
      <w:proofErr w:type="spellEnd"/>
      <w:r>
        <w:rPr>
          <w:sz w:val="28"/>
          <w:szCs w:val="28"/>
          <w:lang w:val="tr-TR"/>
        </w:rPr>
        <w:t xml:space="preserve">. </w:t>
      </w:r>
    </w:p>
    <w:p w:rsidR="00292DBD" w:rsidRDefault="00292DBD" w:rsidP="00292DBD">
      <w:pPr>
        <w:spacing w:before="120" w:after="120" w:line="255" w:lineRule="atLeast"/>
        <w:rPr>
          <w:color w:val="414343"/>
          <w:sz w:val="24"/>
          <w:szCs w:val="24"/>
          <w:lang w:eastAsia="tr-TR"/>
        </w:rPr>
      </w:pPr>
    </w:p>
    <w:sectPr w:rsidR="0029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051FE"/>
    <w:multiLevelType w:val="multilevel"/>
    <w:tmpl w:val="3D3C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AE"/>
    <w:rsid w:val="000F1FAE"/>
    <w:rsid w:val="001E347A"/>
    <w:rsid w:val="00292DBD"/>
    <w:rsid w:val="00501FAE"/>
    <w:rsid w:val="0055489B"/>
    <w:rsid w:val="009164A4"/>
    <w:rsid w:val="009C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B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tr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B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A4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semiHidden/>
    <w:unhideWhenUsed/>
    <w:rsid w:val="00501F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DB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tr-T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DB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A4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D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D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semiHidden/>
    <w:unhideWhenUsed/>
    <w:rsid w:val="00501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scholarship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rkiyeburslari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iyeburslari.gov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Vucani</dc:creator>
  <cp:keywords/>
  <dc:description/>
  <cp:lastModifiedBy>Stefan Vucani</cp:lastModifiedBy>
  <cp:revision>8</cp:revision>
  <cp:lastPrinted>2013-02-28T12:11:00Z</cp:lastPrinted>
  <dcterms:created xsi:type="dcterms:W3CDTF">2013-02-27T13:08:00Z</dcterms:created>
  <dcterms:modified xsi:type="dcterms:W3CDTF">2013-03-01T14:15:00Z</dcterms:modified>
</cp:coreProperties>
</file>